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0D921">
      <w:pPr>
        <w:pStyle w:val="3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489C4737">
      <w:pPr>
        <w:pStyle w:val="3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szCs w:val="32"/>
        </w:rPr>
      </w:pPr>
    </w:p>
    <w:p w14:paraId="20D6465D">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网络教育优秀作品推选展示活</w:t>
      </w:r>
      <w:r>
        <w:rPr>
          <w:rFonts w:hint="eastAsia" w:ascii="Times New Roman" w:hAnsi="Times New Roman" w:eastAsia="方正小标宋简体" w:cs="Times New Roman"/>
          <w:sz w:val="44"/>
          <w:szCs w:val="44"/>
          <w:lang w:val="en-US" w:eastAsia="zh-CN"/>
        </w:rPr>
        <w:t>动</w:t>
      </w:r>
      <w:r>
        <w:rPr>
          <w:rFonts w:hint="eastAsia" w:ascii="Times New Roman" w:hAnsi="Times New Roman" w:eastAsia="方正小标宋简体" w:cs="Times New Roman"/>
          <w:sz w:val="44"/>
          <w:szCs w:val="44"/>
        </w:rPr>
        <w:t>工作方案</w:t>
      </w:r>
    </w:p>
    <w:p w14:paraId="5756244B">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ascii="Times New Roman" w:hAnsi="Times New Roman" w:eastAsia="仿宋_GB2312" w:cs="Times New Roman"/>
          <w:sz w:val="32"/>
          <w:szCs w:val="32"/>
        </w:rPr>
      </w:pPr>
    </w:p>
    <w:p w14:paraId="1EBB282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Times New Roman"/>
          <w:sz w:val="32"/>
          <w:szCs w:val="32"/>
        </w:rPr>
      </w:pPr>
      <w:r>
        <w:rPr>
          <w:rFonts w:ascii="Times New Roman" w:hAnsi="Times New Roman" w:eastAsia="黑体" w:cs="Times New Roman"/>
          <w:sz w:val="32"/>
          <w:szCs w:val="32"/>
        </w:rPr>
        <w:t>一、作品征集</w:t>
      </w:r>
    </w:p>
    <w:p w14:paraId="5B68643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网络教育优秀作品推选展示活动征集优秀网络文章、优秀工作案例、优秀微课、优秀新媒体作品、优秀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AI+</w:t>
      </w:r>
      <w:r>
        <w:rPr>
          <w:rFonts w:hint="eastAsia" w:ascii="Times New Roman" w:hAnsi="Times New Roman" w:eastAsia="仿宋_GB2312" w:cs="Times New Roman"/>
          <w:sz w:val="32"/>
          <w:szCs w:val="32"/>
        </w:rPr>
        <w:t>思政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作品</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日至提交截止日期间创作的作品。作品征集时间为即日起至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rPr>
        <w:t>。</w:t>
      </w:r>
    </w:p>
    <w:p w14:paraId="4A34A119">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（一）优秀网络文章</w:t>
      </w:r>
    </w:p>
    <w:p w14:paraId="601524E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须面向大学生创作，体裁不限，要体现价值引导、思想引领，内容观点正确、立场鲜明，育人功能凸显，紧扣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w:t>
      </w:r>
    </w:p>
    <w:p w14:paraId="2635B68B">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（二）优秀工作案例</w:t>
      </w:r>
    </w:p>
    <w:p w14:paraId="75A8B94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围绕个人或团队（网络思政工作室、理论社团、心理咨询室等）在创新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64D9B1C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rPr>
        <w:t>3000</w:t>
      </w:r>
      <w:r>
        <w:rPr>
          <w:rFonts w:hint="eastAsia" w:ascii="Times New Roman" w:hAnsi="Times New Roman" w:eastAsia="仿宋_GB2312" w:cs="Times New Roman"/>
          <w:sz w:val="32"/>
          <w:szCs w:val="32"/>
        </w:rPr>
        <w:t>字以上，可配说明图片和视频。每件作品作者限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14:paraId="0E856A2C">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（三）优秀微课</w:t>
      </w:r>
    </w:p>
    <w:p w14:paraId="2F46D5C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分钟；画质清晰，声音清楚，提倡标注字幕。每件作品作者限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14:paraId="4B840B2F">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（四）优秀新媒体作品</w:t>
      </w:r>
    </w:p>
    <w:p w14:paraId="23ADE66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运用新媒体手段进行的宣传报道、经验分享及成果展示等，在网络上有较大影响力，有较高的转发、评论和引用量，体现在思想政治工作中的创新方式方法。作品包括短视频、微电影、公益广告、校园</w:t>
      </w:r>
      <w:r>
        <w:rPr>
          <w:rFonts w:ascii="Times New Roman" w:hAnsi="Times New Roman" w:eastAsia="仿宋_GB2312" w:cs="Times New Roman"/>
          <w:sz w:val="32"/>
          <w:szCs w:val="32"/>
        </w:rPr>
        <w:t>MV</w:t>
      </w:r>
      <w:r>
        <w:rPr>
          <w:rFonts w:hint="eastAsia" w:ascii="Times New Roman" w:hAnsi="Times New Roman" w:eastAsia="仿宋_GB2312" w:cs="Times New Roman"/>
          <w:sz w:val="32"/>
          <w:szCs w:val="32"/>
        </w:rPr>
        <w:t>、音频、</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作品、图解、漫画、长图及动图等。视频类作品，片长不超过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格式。动图类作品，提交图片文件，</w:t>
      </w:r>
      <w:r>
        <w:rPr>
          <w:rFonts w:ascii="Times New Roman" w:hAnsi="Times New Roman" w:eastAsia="仿宋_GB2312" w:cs="Times New Roman"/>
          <w:sz w:val="32"/>
          <w:szCs w:val="32"/>
        </w:rPr>
        <w:t>GIF</w:t>
      </w:r>
      <w:r>
        <w:rPr>
          <w:rFonts w:hint="eastAsia" w:ascii="Times New Roman" w:hAnsi="Times New Roman" w:eastAsia="仿宋_GB2312" w:cs="Times New Roman"/>
          <w:sz w:val="32"/>
          <w:szCs w:val="32"/>
        </w:rPr>
        <w:t>格式。</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页面类作品，提交主要交互界面截图和网络链接。音频类作品，时长不超过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分钟，格式统一为</w:t>
      </w:r>
      <w:r>
        <w:rPr>
          <w:rFonts w:ascii="Times New Roman" w:hAnsi="Times New Roman" w:eastAsia="仿宋_GB2312" w:cs="Times New Roman"/>
          <w:sz w:val="32"/>
          <w:szCs w:val="32"/>
        </w:rPr>
        <w:t>MP3</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Word</w:t>
      </w:r>
      <w:r>
        <w:rPr>
          <w:rFonts w:hint="eastAsia" w:ascii="Times New Roman" w:hAnsi="Times New Roman" w:eastAsia="仿宋_GB2312" w:cs="Times New Roman"/>
          <w:sz w:val="32"/>
          <w:szCs w:val="32"/>
        </w:rPr>
        <w:t>形式提供文字脚本，保证音质清晰流畅，有听觉美感，可根据需要配音效或进行其他后期制作。每件作品作者限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w:t>
      </w:r>
    </w:p>
    <w:p w14:paraId="616C3569">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（五）优秀“</w:t>
      </w:r>
      <w:r>
        <w:rPr>
          <w:rFonts w:ascii="Times New Roman" w:hAnsi="Times New Roman" w:eastAsia="仿宋_GB2312" w:cs="Times New Roman"/>
          <w:b/>
          <w:bCs/>
          <w:sz w:val="32"/>
          <w:szCs w:val="32"/>
        </w:rPr>
        <w:t>AI</w:t>
      </w: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rPr>
        <w:t>思政”作品</w:t>
      </w:r>
    </w:p>
    <w:p w14:paraId="0F49E7F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内容供给、队伍建设、精准思政等领域，聚焦人工智能技术应用，推进思想政治工作尤其是网络思想政治工作数字化、智能化、智慧化的创新成果。作品包括在人工智能技术与网络思政工作相结合的过程中产生的网络育人作品，以及展示应用场景拓展、网络思政工作赋能等方面实践成果的短视频作品。</w:t>
      </w:r>
    </w:p>
    <w:p w14:paraId="2155D5D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短视频时长不超过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w:t>
      </w:r>
    </w:p>
    <w:p w14:paraId="461687F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二、作品提交</w:t>
      </w:r>
    </w:p>
    <w:p w14:paraId="5BB9E47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仿宋_GB2312"/>
          <w:sz w:val="32"/>
          <w:szCs w:val="32"/>
        </w:rPr>
        <w:t>1.所有参赛作品均须提交有效的长期网址链接（非网盘）。</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系所中心</w:t>
      </w:r>
      <w:r>
        <w:rPr>
          <w:rFonts w:hint="eastAsia" w:ascii="Times New Roman" w:hAnsi="Times New Roman" w:eastAsia="仿宋_GB2312" w:cs="仿宋_GB2312"/>
          <w:sz w:val="32"/>
          <w:szCs w:val="32"/>
        </w:rPr>
        <w:t>负责</w:t>
      </w:r>
      <w:r>
        <w:rPr>
          <w:rFonts w:ascii="Times New Roman" w:hAnsi="Times New Roman" w:eastAsia="仿宋_GB2312" w:cs="仿宋_GB2312"/>
          <w:sz w:val="32"/>
          <w:szCs w:val="32"/>
        </w:rPr>
        <w:t>审核把关推荐作品，统一</w:t>
      </w:r>
      <w:r>
        <w:rPr>
          <w:rFonts w:hint="eastAsia" w:ascii="Times New Roman" w:hAnsi="Times New Roman" w:eastAsia="仿宋_GB2312" w:cs="仿宋_GB2312"/>
          <w:sz w:val="32"/>
          <w:szCs w:val="32"/>
        </w:rPr>
        <w:t>填写</w:t>
      </w:r>
      <w:r>
        <w:rPr>
          <w:rFonts w:ascii="Times New Roman" w:hAnsi="Times New Roman" w:eastAsia="仿宋_GB2312" w:cs="仿宋_GB2312"/>
          <w:sz w:val="32"/>
          <w:szCs w:val="32"/>
        </w:rPr>
        <w:t>《网络教育优秀作品推选展示活动信息表》（附件2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）和《网络教育优秀作品推选展示活动汇总表》（附件2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提交至</w:t>
      </w:r>
      <w:r>
        <w:rPr>
          <w:rFonts w:ascii="Times New Roman" w:hAnsi="Times New Roman" w:eastAsia="仿宋_GB2312" w:cs="仿宋_GB2312"/>
          <w:sz w:val="32"/>
          <w:szCs w:val="32"/>
        </w:rPr>
        <w:t>cc0501@hit.edu.cn。所有作品提交后，作品名称、作者及指导教师姓名均不予以修改，信息表和汇总表信息一致，截止时间</w:t>
      </w:r>
      <w:r>
        <w:rPr>
          <w:rFonts w:hint="eastAsia" w:ascii="Times New Roman" w:hAnsi="Times New Roman" w:eastAsia="仿宋_GB2312" w:cs="仿宋_GB2312"/>
          <w:sz w:val="32"/>
          <w:szCs w:val="32"/>
          <w:lang w:val="en-US" w:eastAsia="zh-CN"/>
        </w:rPr>
        <w:t>为</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rPr>
        <w:t>5</w:t>
      </w:r>
      <w:r>
        <w:rPr>
          <w:rFonts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8</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28</w:t>
      </w:r>
      <w:r>
        <w:rPr>
          <w:rFonts w:hint="default" w:ascii="Times New Roman" w:hAnsi="Times New Roman" w:eastAsia="仿宋_GB2312" w:cs="仿宋_GB2312"/>
          <w:sz w:val="32"/>
          <w:szCs w:val="32"/>
          <w:lang w:val="en-US" w:eastAsia="zh-CN"/>
        </w:rPr>
        <w:t>日</w:t>
      </w:r>
      <w:r>
        <w:rPr>
          <w:rFonts w:ascii="Times New Roman" w:hAnsi="Times New Roman" w:eastAsia="仿宋_GB2312" w:cs="仿宋_GB2312"/>
          <w:sz w:val="32"/>
          <w:szCs w:val="32"/>
        </w:rPr>
        <w:t>，逾期视为放弃。</w:t>
      </w:r>
    </w:p>
    <w:p w14:paraId="25D4E7C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同一作品只能参加大学生网络文化节、网络教育优秀作品推选展示活动其中一项，以著作权归属确认其作品的教师（个人/团体）或学生（个人/团体）属性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重复提交的作品或著作权认定不清的作品，将取消参与资格。</w:t>
      </w:r>
      <w:bookmarkStart w:id="0" w:name="_GoBack"/>
      <w:bookmarkEnd w:id="0"/>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7AD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6B00C">
                          <w:pPr>
                            <w:pStyle w:val="11"/>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06B00C">
                    <w:pPr>
                      <w:pStyle w:val="11"/>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52"/>
    <w:rsid w:val="0021680C"/>
    <w:rsid w:val="003418D5"/>
    <w:rsid w:val="003C4A96"/>
    <w:rsid w:val="00594BA6"/>
    <w:rsid w:val="00823E03"/>
    <w:rsid w:val="009D6209"/>
    <w:rsid w:val="00A8726D"/>
    <w:rsid w:val="00C50063"/>
    <w:rsid w:val="00D146CB"/>
    <w:rsid w:val="00D91928"/>
    <w:rsid w:val="00D95252"/>
    <w:rsid w:val="00E02D9B"/>
    <w:rsid w:val="06A05249"/>
    <w:rsid w:val="076517D2"/>
    <w:rsid w:val="098A7A58"/>
    <w:rsid w:val="09E6028F"/>
    <w:rsid w:val="0B277D2D"/>
    <w:rsid w:val="0B2823DD"/>
    <w:rsid w:val="0FEB3178"/>
    <w:rsid w:val="164E081E"/>
    <w:rsid w:val="16BE1E47"/>
    <w:rsid w:val="1B803B6F"/>
    <w:rsid w:val="1D5B7929"/>
    <w:rsid w:val="1D792624"/>
    <w:rsid w:val="2751016E"/>
    <w:rsid w:val="285A5748"/>
    <w:rsid w:val="2EAB4607"/>
    <w:rsid w:val="2F903A47"/>
    <w:rsid w:val="307A6987"/>
    <w:rsid w:val="314529D4"/>
    <w:rsid w:val="349933AE"/>
    <w:rsid w:val="351F3659"/>
    <w:rsid w:val="36067380"/>
    <w:rsid w:val="36D612AA"/>
    <w:rsid w:val="371A4A20"/>
    <w:rsid w:val="371F5B92"/>
    <w:rsid w:val="3EC7548D"/>
    <w:rsid w:val="3F5860E5"/>
    <w:rsid w:val="3F744EE9"/>
    <w:rsid w:val="4BCB7C3F"/>
    <w:rsid w:val="4CAD5597"/>
    <w:rsid w:val="54A92AE8"/>
    <w:rsid w:val="5A2570B4"/>
    <w:rsid w:val="5D755C5D"/>
    <w:rsid w:val="5E412193"/>
    <w:rsid w:val="5E734892"/>
    <w:rsid w:val="5F166FCB"/>
    <w:rsid w:val="61A11716"/>
    <w:rsid w:val="67896ED4"/>
    <w:rsid w:val="6922138F"/>
    <w:rsid w:val="6ED0363B"/>
    <w:rsid w:val="6FF46EB5"/>
    <w:rsid w:val="70F73405"/>
    <w:rsid w:val="78EA354B"/>
    <w:rsid w:val="7AC322A6"/>
    <w:rsid w:val="7B7610C6"/>
    <w:rsid w:val="7D670679"/>
    <w:rsid w:val="7DC4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styleId="37">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1762</Words>
  <Characters>1821</Characters>
  <Lines>51</Lines>
  <Paragraphs>34</Paragraphs>
  <TotalTime>1</TotalTime>
  <ScaleCrop>false</ScaleCrop>
  <LinksUpToDate>false</LinksUpToDate>
  <CharactersWithSpaces>1821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2025-06-11T02:20:00Z</dcterms:created>
  <dc:creator>Administrator</dc:creator>
  <cp:lastModifiedBy>M^CandyQ </cp:lastModifiedBy>
  <cp:lastPrinted>2025-06-18T03:04:00Z</cp:lastPrinted>
  <dcterms:modified xsi:type="dcterms:W3CDTF">2025-07-17T07:49:14Z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eyJoZGlkIjoiMzdkNGViZmNmNjkwOTc0YjA5MWMyYTZkMzE3MDNlOTUiLCJ1c2VySWQiOiIyMDI4MzkzNzcifQ==</vt:lpwstr>
  </property>
  <property fmtid="{D5CDD505-2E9C-101B-9397-08002B2CF9AE}" pid="3" name="KSOProductBuildVer">
    <vt:lpwstr>2052-12.1.0.21915</vt:lpwstr>
  </property>
  <property fmtid="{D5CDD505-2E9C-101B-9397-08002B2CF9AE}" pid="4" name="ICV">
    <vt:lpwstr>82D12ED2908C48DBA2F535BFBDF9ABC2_13</vt:lpwstr>
  </property>
</Properties>
</file>